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蓬朗社区万源公寓地块项目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东至空地、南至空地、西至石予路、北至万源路，昆山开发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区蓬朗社区万源公寓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号楼、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号楼（上述楼号如有出入，以征收红线图确定的范围为准）纳入本项目房屋搬迁范围。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共计搬迁房屋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户（其中：成套住宅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户、单独产权车库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>户），建筑面积约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1"/>
                <w:szCs w:val="31"/>
                <w:lang w:val="en-US" w:eastAsia="zh-CN" w:bidi="ar"/>
              </w:rPr>
              <w:t>5430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平方米。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年以来房屋征收评估业绩，评估项目名称、评估总建筑面积、评估房屋总户数等）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3F2B32CC"/>
    <w:rsid w:val="0766195B"/>
    <w:rsid w:val="08FE1164"/>
    <w:rsid w:val="0C9C772E"/>
    <w:rsid w:val="0ECE3BFF"/>
    <w:rsid w:val="398264E7"/>
    <w:rsid w:val="3B646ABA"/>
    <w:rsid w:val="3F2B32CC"/>
    <w:rsid w:val="40204AA9"/>
    <w:rsid w:val="421026BC"/>
    <w:rsid w:val="481564BB"/>
    <w:rsid w:val="489B5295"/>
    <w:rsid w:val="4B9C4CAC"/>
    <w:rsid w:val="4BD90F0F"/>
    <w:rsid w:val="509176F7"/>
    <w:rsid w:val="5A944961"/>
    <w:rsid w:val="5B4A72E8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qFormat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qFormat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762</Characters>
  <Lines>0</Lines>
  <Paragraphs>0</Paragraphs>
  <TotalTime>9</TotalTime>
  <ScaleCrop>false</ScaleCrop>
  <LinksUpToDate>false</LinksUpToDate>
  <CharactersWithSpaces>1007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2022-03-31T05:49:00Z</dcterms:created>
  <dc:creator>Administrator</dc:creator>
  <cp:lastModifiedBy>Mcribe</cp:lastModifiedBy>
  <dcterms:modified xsi:type="dcterms:W3CDTF">2023-03-16T02:14:02Z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D28F619D63AE4C6F92A3C068CFB14FA1</vt:lpwstr>
  </property>
</Properties>
</file>